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bidi w:val="0"/>
        <w:rPr>
          <w:rFonts w:hint="eastAsia"/>
        </w:rPr>
      </w:pPr>
      <w:bookmarkStart w:id="0" w:name="_Toc1985154939"/>
      <w:bookmarkStart w:id="1" w:name="_Toc861167574"/>
      <w:bookmarkStart w:id="2" w:name="_Toc678555161"/>
      <w:r>
        <w:rPr>
          <w:rFonts w:hint="eastAsia"/>
          <w:lang w:val="en-US" w:eastAsia="zh-CN"/>
        </w:rPr>
        <w:t>附件3: CTI-C-035-A3-V1.0 《</w:t>
      </w:r>
      <w:r>
        <w:rPr>
          <w:rFonts w:hint="eastAsia"/>
        </w:rPr>
        <w:t>涉及</w:t>
      </w:r>
      <w:r>
        <w:rPr>
          <w:rFonts w:hint="eastAsia"/>
          <w:lang w:val="en-US" w:eastAsia="zh-CN"/>
        </w:rPr>
        <w:t>人</w:t>
      </w:r>
      <w:r>
        <w:rPr>
          <w:rFonts w:hint="eastAsia"/>
        </w:rPr>
        <w:t>遗</w:t>
      </w:r>
      <w:r>
        <w:rPr>
          <w:rFonts w:hint="eastAsia"/>
          <w:lang w:val="en-US" w:eastAsia="zh-CN"/>
        </w:rPr>
        <w:t>管理的</w:t>
      </w:r>
      <w:r>
        <w:rPr>
          <w:rFonts w:hint="eastAsia"/>
        </w:rPr>
        <w:t>研究项目样品采集登记表</w:t>
      </w:r>
      <w:r>
        <w:rPr>
          <w:rFonts w:hint="eastAsia"/>
          <w:lang w:eastAsia="zh-CN"/>
        </w:rPr>
        <w:t>》</w:t>
      </w:r>
      <w:bookmarkEnd w:id="0"/>
      <w:bookmarkEnd w:id="1"/>
      <w:bookmarkEnd w:id="2"/>
    </w:p>
    <w:p>
      <w:pPr>
        <w:numPr>
          <w:ilvl w:val="0"/>
          <w:numId w:val="0"/>
        </w:numPr>
        <w:spacing w:line="360" w:lineRule="auto"/>
        <w:ind w:left="85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tLeast"/>
        <w:ind w:lef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涉及人遗管理的研究项目样品采集登记表</w:t>
      </w:r>
    </w:p>
    <w:p>
      <w:pPr>
        <w:numPr>
          <w:ilvl w:val="0"/>
          <w:numId w:val="0"/>
        </w:numPr>
        <w:spacing w:line="360" w:lineRule="auto"/>
        <w:ind w:left="850"/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vAlign w:val="center"/>
          </w:tcPr>
          <w:p>
            <w:pPr>
              <w:spacing w:before="157" w:beforeLines="50"/>
              <w:ind w:firstLine="0" w:firstLineChars="0"/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3192" w:type="dxa"/>
            <w:vAlign w:val="center"/>
          </w:tcPr>
          <w:p>
            <w:pPr>
              <w:spacing w:before="157" w:beforeLines="50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vAlign w:val="center"/>
          </w:tcPr>
          <w:p>
            <w:pPr>
              <w:spacing w:before="157" w:beforeLines="50"/>
              <w:ind w:firstLine="0" w:firstLineChars="0"/>
            </w:pPr>
            <w:r>
              <w:rPr>
                <w:rFonts w:hint="eastAsia"/>
                <w:lang w:val="en-US" w:eastAsia="zh-CN"/>
              </w:rPr>
              <w:t>本中心是否为组长单位</w:t>
            </w:r>
          </w:p>
        </w:tc>
        <w:tc>
          <w:tcPr>
            <w:tcW w:w="3192" w:type="dxa"/>
            <w:vAlign w:val="center"/>
          </w:tcPr>
          <w:p>
            <w:pPr>
              <w:spacing w:before="157" w:beforeLines="50"/>
              <w:ind w:firstLine="0" w:firstLineChars="0"/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vAlign w:val="center"/>
          </w:tcPr>
          <w:p>
            <w:pPr>
              <w:spacing w:before="157" w:beforeLines="50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涉及的人类遗传资源申报项目（可多选）</w:t>
            </w:r>
          </w:p>
        </w:tc>
        <w:tc>
          <w:tcPr>
            <w:tcW w:w="3192" w:type="dxa"/>
            <w:vAlign w:val="center"/>
          </w:tcPr>
          <w:p>
            <w:pPr>
              <w:spacing w:before="157" w:beforeLines="50"/>
              <w:ind w:firstLine="0" w:firstLineChars="0"/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采集审批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出境审批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国合审批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国合备案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vAlign w:val="center"/>
          </w:tcPr>
          <w:p>
            <w:pPr>
              <w:numPr>
                <w:ilvl w:val="-1"/>
                <w:numId w:val="0"/>
              </w:numPr>
              <w:spacing w:before="157" w:beforeLines="50" w:line="360" w:lineRule="auto"/>
              <w:ind w:firstLine="0" w:firstLineChars="0"/>
            </w:pPr>
            <w:r>
              <w:rPr>
                <w:rFonts w:hint="eastAsia"/>
                <w:lang w:val="en-US" w:eastAsia="zh-CN"/>
              </w:rPr>
              <w:t>涉及的人类遗传资源（包括材料和信息）提供者例数</w:t>
            </w:r>
          </w:p>
        </w:tc>
        <w:tc>
          <w:tcPr>
            <w:tcW w:w="3192" w:type="dxa"/>
            <w:vAlign w:val="center"/>
          </w:tcPr>
          <w:p>
            <w:pPr>
              <w:numPr>
                <w:ilvl w:val="-1"/>
                <w:numId w:val="0"/>
              </w:numPr>
              <w:spacing w:before="157" w:beforeLines="50" w:line="360" w:lineRule="auto"/>
              <w:ind w:firstLine="0" w:firstLineChars="0"/>
            </w:pPr>
            <w:r>
              <w:rPr>
                <w:rFonts w:hint="eastAsia"/>
                <w:lang w:val="en-US" w:eastAsia="zh-CN"/>
              </w:rPr>
              <w:t>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vAlign w:val="center"/>
          </w:tcPr>
          <w:p>
            <w:pPr>
              <w:numPr>
                <w:ilvl w:val="-1"/>
                <w:numId w:val="0"/>
              </w:numPr>
              <w:spacing w:before="157" w:beforeLines="50" w:line="360" w:lineRule="auto"/>
              <w:ind w:firstLine="0" w:firstLineChars="0"/>
            </w:pPr>
            <w:r>
              <w:rPr>
                <w:rFonts w:hint="eastAsia"/>
                <w:lang w:val="en-US" w:eastAsia="zh-CN"/>
              </w:rPr>
              <w:t>剩余的人类遗传资源材料是否涉及外送</w:t>
            </w:r>
          </w:p>
        </w:tc>
        <w:tc>
          <w:tcPr>
            <w:tcW w:w="3192" w:type="dxa"/>
            <w:vAlign w:val="center"/>
          </w:tcPr>
          <w:p>
            <w:pPr>
              <w:numPr>
                <w:ilvl w:val="-1"/>
                <w:numId w:val="0"/>
              </w:numPr>
              <w:spacing w:before="157" w:beforeLines="50" w:line="360" w:lineRule="auto"/>
              <w:ind w:firstLine="0" w:firstLineChars="0"/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3"/>
          </w:tcPr>
          <w:p>
            <w:pPr>
              <w:spacing w:before="157" w:beforeLines="50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本项目方案涉及的人类遗传资源材料类型、目的及对应的信息类型汇总表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>
            <w:pPr>
              <w:spacing w:before="157" w:beforeLines="50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材料类型</w:t>
            </w:r>
            <w:r>
              <w:rPr>
                <w:rStyle w:val="38"/>
                <w:rFonts w:hint="eastAsia"/>
                <w:lang w:val="en-US" w:eastAsia="zh-CN"/>
              </w:rPr>
              <w:footnoteReference w:id="0"/>
            </w: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试验内容</w:t>
            </w: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信息类型</w:t>
            </w:r>
            <w:r>
              <w:rPr>
                <w:rStyle w:val="38"/>
                <w:rFonts w:hint="eastAsia"/>
                <w:lang w:val="en-US" w:eastAsia="zh-CN"/>
              </w:rPr>
              <w:foot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spacing w:before="157" w:beforeLines="50"/>
              <w:ind w:firstLine="0" w:firstLineChars="0"/>
              <w:rPr>
                <w:rFonts w:hint="eastAsia"/>
                <w:lang w:val="en-US" w:eastAsia="zh-CN"/>
              </w:rPr>
            </w:pPr>
            <w:bookmarkStart w:id="3" w:name="_GoBack"/>
            <w:bookmarkEnd w:id="3"/>
          </w:p>
        </w:tc>
      </w:tr>
    </w:tbl>
    <w:p>
      <w:pPr>
        <w:spacing w:line="360" w:lineRule="auto"/>
        <w:ind w:firstLine="0" w:firstLineChars="0"/>
        <w:jc w:val="righ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360" w:lineRule="auto"/>
        <w:ind w:firstLine="480"/>
      </w:pPr>
      <w:r>
        <w:separator/>
      </w:r>
    </w:p>
  </w:footnote>
  <w:footnote w:type="continuationSeparator" w:id="5">
    <w:p>
      <w:pPr>
        <w:spacing w:line="360" w:lineRule="auto"/>
        <w:ind w:firstLine="480"/>
      </w:pPr>
      <w:r>
        <w:continuationSeparator/>
      </w:r>
    </w:p>
  </w:footnote>
  <w:footnote w:id="0">
    <w:p>
      <w:pPr>
        <w:pStyle w:val="24"/>
        <w:snapToGrid w:val="0"/>
      </w:pPr>
      <w:r>
        <w:rPr>
          <w:rStyle w:val="38"/>
        </w:rPr>
        <w:footnoteRef/>
      </w:r>
      <w:r>
        <w:t xml:space="preserve"> </w:t>
      </w:r>
      <w:r>
        <w:rPr>
          <w:rFonts w:hint="eastAsia"/>
          <w:lang w:val="en-US" w:eastAsia="zh-CN"/>
        </w:rPr>
        <w:t>材料类型:细胞、全血、组织、组织切片、精液、脑脊液、胸腔积液、腹腔积液、血涂片、骨 髓涂片、其他;</w:t>
      </w:r>
    </w:p>
  </w:footnote>
  <w:footnote w:id="1">
    <w:p>
      <w:pPr>
        <w:pStyle w:val="24"/>
        <w:snapToGrid w:val="0"/>
      </w:pPr>
      <w:r>
        <w:rPr>
          <w:rStyle w:val="38"/>
        </w:rPr>
        <w:footnoteRef/>
      </w:r>
      <w:r>
        <w:t xml:space="preserve"> </w:t>
      </w:r>
      <w:r>
        <w:rPr>
          <w:rFonts w:hint="eastAsia"/>
          <w:lang w:val="en-US" w:eastAsia="zh-CN"/>
        </w:rPr>
        <w:t>信息类型分为:临床数据，如人口学信息、一般实验室检查信息等;影像数据，如B超、CT、 PET-CT、核磁共振、X射线等;生物标志物数据，如诊断性生物标志物、监测性生物标志物、药效学/反应生 物标志物、预测性生物标志物、预后生物标志物、安全性生物标志物、易感性/风险生物标志物;基因数 据，如全基因组测序、外显子组测序、目标区域测序、人线粒体测序、全基因组甲基化测序、lnc RNA测序、转录组测序、单细胞转录组测序、small RNA测序等;蛋白质数据;代谢数据。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5306D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504C68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91F2A83"/>
    <w:rsid w:val="69733998"/>
    <w:rsid w:val="699F653B"/>
    <w:rsid w:val="69A32D71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E580B16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0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2023-12-13T04:36:54Z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